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F" w:rsidRPr="00CF6D6F" w:rsidRDefault="00CF6D6F" w:rsidP="00CF6D6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РОССИЙСКАЯ</w:t>
      </w:r>
      <w:proofErr w:type="gramEnd"/>
      <w:r w:rsidRPr="00CF6D6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ФЕДЕРАЦИЯФЕДЕРАЛЬНЫЙ ЗАКОНОБ ОБРАЗОВАНИИ В РОССИЙСКОЙ ФЕДЕРАЦИИ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Принят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Государственной Думой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 декабря 2012 года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Одобрен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Советом Федерации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 декабря 2012 года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 Федеральных законов от 07.05.2013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N 99-ФЗ</w:t>
        </w:r>
      </w:hyperlink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23.07.2013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N 203-ФЗ</w:t>
        </w:r>
      </w:hyperlink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Обзор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изменений данного документа)</w:t>
      </w:r>
    </w:p>
    <w:p w:rsidR="00CF6D6F" w:rsidRPr="00CF6D6F" w:rsidRDefault="00CF6D6F" w:rsidP="00CF6D6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CF6D6F">
        <w:rPr>
          <w:rFonts w:ascii="Arial" w:eastAsia="Times New Roman" w:hAnsi="Arial" w:cs="Arial"/>
          <w:color w:val="000000"/>
          <w:sz w:val="40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Глава 1. ОБЩИЕ ПОЛОЖЕНИЯ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1. Предмет регулирования настоящего Федерального закона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2. Основные понятия, используемые в настоящем Федеральном законе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целей настоящего Федерального закона применяются следующие основные понятия: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образование - единый целенаправленный процесс воспитания и обучения, являющийся общественно значимым благом и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компетенции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социокультурных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7) 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образования, определенными настоящим Федеральным законом или указом Президента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8) федеральные государственные требования - обязательные требования к минимуму содержания, структуре дополнительных </w:t>
      </w: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предпрофессиональных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программ, условиям их реализации и срокам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обучения по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12) профессиональное образование - вид образования, который направлен на приобретение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обучающимися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процессе освоения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13) профессиональное обучение - вид образования, который направлен на приобретение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обучающимися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15)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физическое лицо, осваивающее образовательную программу;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16)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обучающийся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комиссией и препятствующие получению образования без создания специальных условий;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17) образовательная деятельность - деятельность по реализации образовательных программ;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24) 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26) средства обучения и воспитания - приборы, оборудование, включая спортивное оборудование и инвентарь, инструменты (в том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признание приоритетности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10)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демократический характер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управления образованием, обеспечение прав педагогических работников, обучающихся, родителей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(законных представителей)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несовершеннолетних обучающихся на участие в управлении образовательными организациями;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недопустимость ограничения или устранения конкуренции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12) сочетание государственного и договорного регулирования отношений в сфере образования.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Правительство Российской Федерации ежегодно в рамках обеспечения проведения единой государственной политики в сфере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4. Правовое регулирование отношений в сфере образования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Отношения в сфере образования регулируются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9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Конституцией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Основными задачами правового регулирования отношений в сфере образования являются: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обеспечение и защита конституционного права граждан Российской Федерации на образование;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создание правовых гарантий для согласования интересов участников отношений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определение правового положения участников отношений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6) разграничение полномочий в сфере образования между федеральными органами государственной власти, органами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государственной власти субъектов Российской Федерации и органами местного самоуправления.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В случае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</w:t>
      </w: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Сколково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 и осуществляющих образовательную деятельность, применяется с учетом особенностей, установленных специальными федеральными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0" w:tooltip="Ссылка на список документов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законами</w:t>
        </w:r>
      </w:hyperlink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действие законодательства об образовании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распространяется с особенностями, предусмотренными федеральными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1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законами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иными нормативными правовыми актами Российской Федерации о государственной службе.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В Российской Федерации гарантируется право каждого человека на образование.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2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стандартами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создаются необходимые условия для получения без дискриминации качественного образования лицами с ограниченными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6. Полномочия федеральных органов государственной власти в сфере образования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 полномочиям федеральных органов государственной власти в сфере образования относятся: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разработка и проведение единой государственной политики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утверждение федеральных государственных образовательных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3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стандартов</w:t>
        </w:r>
      </w:hyperlink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установление федеральных государственных требований;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лицензирование образовательной деятельности: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организаций, осуществляющих образовательную деятельность по образовательным программам высшего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4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перечень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 утверждается Правительством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8) государственная аккредитация образовательной деятельности организаций, осуществляющих образовательную деятельность и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5" w:anchor="p123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7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 государственный контроль (надзор) в сфере образования за деятельностью организаций, 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6" w:anchor="p123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7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 обеспечение осуществления мониторинга в системе образования на федеральном уровне;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государственный контроль (надзор) в сфере образования за деятельностью организаций, осуществляющих образовательную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деятельность на территории субъекта Российской Федерации (за исключением организаций, 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7" w:anchor="p123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7 части 1 статьи 6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8" w:anchor="p123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7 части 1 статьи 6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настоящего Федерального закона);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9" w:anchor="p123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7 части 1 статьи 6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настоящего Федерального закона);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подтверждение документов об образовании и (или) о квалификации.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Финансовое обеспечение осуществления переданных полномочий, за исключением полномочий, 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0" w:anchor="p173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части 10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бюджет субъекта Российской Федерации в соответствии с Бюджетным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1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кодексом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2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методики</w:t>
        </w:r>
      </w:hyperlink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утвержденной Правительством Российской Федерации, исходя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1) количества муниципальных районов и городских округов на территории субъекта Российской Федерации, внутригородских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муниципальных образований городов федерального значения Москвы и Санкт-Петербурга;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дств в п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орядке, установленном бюджетным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3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законодательством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3) по представлению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Российской Федерации, у органов государственной власти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Федеральный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4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орган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исполнительной власти, осуществляющий функции по контролю и надзору в сфере образования: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5" w:anchor="p140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1 части 1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ежеквартального отчета о расходовании предоставленных субвенций, о достижении целевых прогнозных показателей;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информации (в том числе баз данных), необходимой для формирования и ведения федеральных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данных по вопросам контроля и надзора в сфере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имеет право до принятия нормативных правовых актов, указанных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6" w:anchor="p151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1 части 6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9.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Контроль за расходованием средств на осуществление переданных полномочий осуществляется в пределах установленной компетенции федеральным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7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органом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исполнительной власти, осуществляющим функции по контролю и надзору в финансово-бюджетной сфере, федеральным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8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органом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исполнительной власти, осуществляющим функции по контролю и надзору в сфере образования, Счетной палатой Российской Федерации.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29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кодексом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lastRenderedPageBreak/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8. Полномочия органов государственной власти субъектов Российской Федерации в сфере образования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 полномочиям органов государственной власти субъектов Российской Федерации в сфере образования относятся: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5" style="width:0;height:.85pt" o:hralign="center" o:hrstd="t" o:hrnoshade="t" o:hr="t" fillcolor="#999" stroked="f"/>
        </w:pic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КонсультантПлюс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примечание.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 3 части 1 статьи 8 вступает в силу с 1 января 2014 года (</w:t>
      </w:r>
      <w:hyperlink r:id="rId30" w:anchor="p1884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часть 2 статьи 111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данного документа).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6" style="width:0;height:.85pt" o:hralign="center" o:hrstd="t" o:hrnoshade="t" o:hr="t" fillcolor="#999" stroked="f"/>
        </w:pic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7" style="width:0;height:.85pt" o:hralign="center" o:hrstd="t" o:hrnoshade="t" o:hr="t" fillcolor="#999" stroked="f"/>
        </w:pic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КонсультантПлюс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примечание.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 6 части 1 статьи 8 вступает в силу с 1 января 2014 года (</w:t>
      </w:r>
      <w:hyperlink r:id="rId31" w:anchor="p1884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часть 2 статьи 111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данного документа).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8" style="width:0;height:.85pt" o:hralign="center" o:hrstd="t" o:hrnoshade="t" o:hr="t" fillcolor="#999" stroked="f"/>
        </w:pic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содержание зданий и оплату коммунальных услуг), в соответствии с нормативами, указанными в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2" w:anchor="p184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пункте 3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настоящей части;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3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перечнем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обеспечение осуществления мониторинга в системе образования на уровне субъектов Российской Федерации;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обучающимся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 осуществление иных установленных настоящим Федеральным законом полномочий в сфере образования.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lastRenderedPageBreak/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29" style="width:0;height:.85pt" o:hralign="center" o:hrstd="t" o:hrnoshade="t" o:hr="t" fillcolor="#999" stroked="f"/>
        </w:pic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КонсультантПлюс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примечание.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Пункт 1 части 1 статьи 9 вступает в силу с 1 января 2014 года (</w:t>
      </w:r>
      <w:hyperlink r:id="rId34" w:anchor="p1884" w:tooltip="Ссылка на текущий документ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часть 2 статьи 111</w:t>
        </w:r>
      </w:hyperlink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данного документа).</w:t>
      </w:r>
    </w:p>
    <w:p w:rsidR="00CF6D6F" w:rsidRPr="00CF6D6F" w:rsidRDefault="00CF6D6F" w:rsidP="00CF6D6F">
      <w:pPr>
        <w:shd w:val="clear" w:color="auto" w:fill="FFFFFF"/>
        <w:spacing w:before="100" w:after="10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pict>
          <v:rect id="_x0000_i1030" style="width:0;height:.85pt" o:hralign="center" o:hrstd="t" o:hrnoshade="t" o:hr="t" fillcolor="#999" stroked="f"/>
        </w:pic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</w:t>
      </w:r>
      <w:r w:rsidRPr="00CF6D6F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5" w:history="1">
        <w:r w:rsidRPr="00CF6D6F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стандартами</w:t>
        </w:r>
      </w:hyperlink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6) учет детей, подлежащих </w:t>
      </w:r>
      <w:proofErr w:type="gramStart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обучению по</w:t>
      </w:r>
      <w:proofErr w:type="gramEnd"/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осуществление иных установленных настоящим Федеральным законом полномочий в сфере образования.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</w:p>
    <w:p w:rsidR="00CF6D6F" w:rsidRPr="00CF6D6F" w:rsidRDefault="00CF6D6F" w:rsidP="00CF6D6F">
      <w:pPr>
        <w:shd w:val="clear" w:color="auto" w:fill="FFFFFF"/>
        <w:spacing w:after="0" w:line="432" w:lineRule="atLeast"/>
        <w:ind w:firstLine="40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CF6D6F" w:rsidRPr="00CF6D6F" w:rsidRDefault="00CF6D6F" w:rsidP="00CF6D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F6D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Редакции</w:t>
      </w:r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36" w:history="1">
        <w:r w:rsidRPr="00CF6D6F">
          <w:rPr>
            <w:rFonts w:ascii="Arial" w:eastAsia="Times New Roman" w:hAnsi="Arial" w:cs="Arial"/>
            <w:color w:val="0000FF"/>
            <w:sz w:val="29"/>
            <w:lang w:eastAsia="ru-RU"/>
          </w:rPr>
          <w:t>№ 8 от 03.02.2014, с изменениями, не вступившими в силу</w:t>
        </w:r>
      </w:hyperlink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37" w:history="1">
        <w:r w:rsidRPr="00CF6D6F">
          <w:rPr>
            <w:rFonts w:ascii="Arial" w:eastAsia="Times New Roman" w:hAnsi="Arial" w:cs="Arial"/>
            <w:color w:val="0000FF"/>
            <w:sz w:val="29"/>
            <w:lang w:eastAsia="ru-RU"/>
          </w:rPr>
          <w:t>№ 7 от 03.02.2014, с изменениями, не вступившими в силу</w:t>
        </w:r>
      </w:hyperlink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38" w:history="1">
        <w:r w:rsidRPr="00CF6D6F">
          <w:rPr>
            <w:rFonts w:ascii="Arial" w:eastAsia="Times New Roman" w:hAnsi="Arial" w:cs="Arial"/>
            <w:color w:val="00A022"/>
            <w:sz w:val="29"/>
            <w:lang w:eastAsia="ru-RU"/>
          </w:rPr>
          <w:t>№ 6 от 25.11.2013, действующая</w:t>
        </w:r>
      </w:hyperlink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39" w:history="1">
        <w:r w:rsidRPr="00CF6D6F">
          <w:rPr>
            <w:rFonts w:ascii="Arial" w:eastAsia="Times New Roman" w:hAnsi="Arial" w:cs="Arial"/>
            <w:color w:val="FF0000"/>
            <w:sz w:val="29"/>
            <w:lang w:eastAsia="ru-RU"/>
          </w:rPr>
          <w:t>№ 5 от 25.11.2013, недействующая</w:t>
        </w:r>
      </w:hyperlink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40" w:history="1">
        <w:r w:rsidRPr="00CF6D6F">
          <w:rPr>
            <w:rFonts w:ascii="Arial" w:eastAsia="Times New Roman" w:hAnsi="Arial" w:cs="Arial"/>
            <w:color w:val="FF0000"/>
            <w:sz w:val="29"/>
            <w:lang w:eastAsia="ru-RU"/>
          </w:rPr>
          <w:t>№ 4 от 25.11.2013, недействующая</w:t>
        </w:r>
      </w:hyperlink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41" w:history="1">
        <w:r w:rsidRPr="00CF6D6F">
          <w:rPr>
            <w:rFonts w:ascii="Arial" w:eastAsia="Times New Roman" w:hAnsi="Arial" w:cs="Arial"/>
            <w:color w:val="333333"/>
            <w:sz w:val="29"/>
            <w:lang w:eastAsia="ru-RU"/>
          </w:rPr>
          <w:t>№ 3 от 23.07.2013, недействующая</w:t>
        </w:r>
      </w:hyperlink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42" w:history="1">
        <w:r w:rsidRPr="00CF6D6F">
          <w:rPr>
            <w:rFonts w:ascii="Arial" w:eastAsia="Times New Roman" w:hAnsi="Arial" w:cs="Arial"/>
            <w:color w:val="FF0000"/>
            <w:sz w:val="29"/>
            <w:lang w:eastAsia="ru-RU"/>
          </w:rPr>
          <w:t>№ 2 от 07.05.2013, недействующая</w:t>
        </w:r>
      </w:hyperlink>
    </w:p>
    <w:p w:rsidR="00CF6D6F" w:rsidRPr="00CF6D6F" w:rsidRDefault="00CF6D6F" w:rsidP="00CF6D6F">
      <w:pPr>
        <w:numPr>
          <w:ilvl w:val="0"/>
          <w:numId w:val="1"/>
        </w:numPr>
        <w:shd w:val="clear" w:color="auto" w:fill="FFFFFF"/>
        <w:spacing w:after="0" w:line="432" w:lineRule="atLeast"/>
        <w:ind w:left="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hyperlink r:id="rId43" w:history="1">
        <w:r w:rsidRPr="00CF6D6F">
          <w:rPr>
            <w:rFonts w:ascii="Arial" w:eastAsia="Times New Roman" w:hAnsi="Arial" w:cs="Arial"/>
            <w:color w:val="FF0000"/>
            <w:sz w:val="29"/>
            <w:lang w:eastAsia="ru-RU"/>
          </w:rPr>
          <w:t>№ 1 от 29.12.2012, недействующая</w:t>
        </w:r>
      </w:hyperlink>
    </w:p>
    <w:p w:rsidR="00693B1A" w:rsidRDefault="00CF6D6F" w:rsidP="00CF6D6F"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44" w:history="1">
        <w:r w:rsidRPr="00CF6D6F">
          <w:rPr>
            <w:rFonts w:ascii="Arial" w:eastAsia="Times New Roman" w:hAnsi="Arial" w:cs="Arial"/>
            <w:color w:val="666699"/>
            <w:sz w:val="27"/>
            <w:lang w:eastAsia="ru-RU"/>
          </w:rPr>
          <w:t>http://www.consultant.ru/document/cons_doc_LAW_149753/</w:t>
        </w:r>
      </w:hyperlink>
      <w:r w:rsidRPr="00CF6D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F6D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© </w:t>
      </w:r>
      <w:proofErr w:type="spellStart"/>
      <w:r w:rsidRPr="00CF6D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КонсультантПлюс</w:t>
      </w:r>
      <w:proofErr w:type="spellEnd"/>
      <w:r w:rsidRPr="00CF6D6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1992-2014</w:t>
      </w:r>
    </w:p>
    <w:sectPr w:rsidR="00693B1A" w:rsidSect="006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1A5"/>
    <w:multiLevelType w:val="multilevel"/>
    <w:tmpl w:val="D34E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D6F"/>
    <w:rsid w:val="005B27E5"/>
    <w:rsid w:val="00693B1A"/>
    <w:rsid w:val="00C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A"/>
  </w:style>
  <w:style w:type="paragraph" w:styleId="2">
    <w:name w:val="heading 2"/>
    <w:basedOn w:val="a"/>
    <w:link w:val="20"/>
    <w:uiPriority w:val="9"/>
    <w:qFormat/>
    <w:rsid w:val="00CF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F6D6F"/>
  </w:style>
  <w:style w:type="character" w:styleId="a3">
    <w:name w:val="Hyperlink"/>
    <w:basedOn w:val="a0"/>
    <w:uiPriority w:val="99"/>
    <w:semiHidden/>
    <w:unhideWhenUsed/>
    <w:rsid w:val="00CF6D6F"/>
    <w:rPr>
      <w:color w:val="0000FF"/>
      <w:u w:val="single"/>
    </w:rPr>
  </w:style>
  <w:style w:type="character" w:customStyle="1" w:styleId="bkimgc">
    <w:name w:val="bkimg_c"/>
    <w:basedOn w:val="a0"/>
    <w:rsid w:val="00CF6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?dst=100004" TargetMode="External"/><Relationship Id="rId13" Type="http://schemas.openxmlformats.org/officeDocument/2006/relationships/hyperlink" Target="http://www.consultant.ru/document/cons_doc_LAW_142304/" TargetMode="External"/><Relationship Id="rId18" Type="http://schemas.openxmlformats.org/officeDocument/2006/relationships/hyperlink" Target="http://www.consultant.ru/document/cons_doc_LAW_149753/" TargetMode="External"/><Relationship Id="rId26" Type="http://schemas.openxmlformats.org/officeDocument/2006/relationships/hyperlink" Target="http://www.consultant.ru/document/cons_doc_LAW_149753/" TargetMode="External"/><Relationship Id="rId39" Type="http://schemas.openxmlformats.org/officeDocument/2006/relationships/hyperlink" Target="http://www.consultant.ru/document/cons_doc_LAW_1547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3961/" TargetMode="External"/><Relationship Id="rId34" Type="http://schemas.openxmlformats.org/officeDocument/2006/relationships/hyperlink" Target="http://www.consultant.ru/document/cons_doc_LAW_149753/?frame=14" TargetMode="External"/><Relationship Id="rId42" Type="http://schemas.openxmlformats.org/officeDocument/2006/relationships/hyperlink" Target="http://www.consultant.ru/document/cons_doc_LAW_146216/" TargetMode="External"/><Relationship Id="rId7" Type="http://schemas.openxmlformats.org/officeDocument/2006/relationships/hyperlink" Target="http://www.consultant.ru/document/cons_doc_LAW_146342/?dst=100008" TargetMode="External"/><Relationship Id="rId12" Type="http://schemas.openxmlformats.org/officeDocument/2006/relationships/hyperlink" Target="http://www.consultant.ru/document/cons_doc_LAW_142304/" TargetMode="External"/><Relationship Id="rId17" Type="http://schemas.openxmlformats.org/officeDocument/2006/relationships/hyperlink" Target="http://www.consultant.ru/document/cons_doc_LAW_149753/" TargetMode="External"/><Relationship Id="rId25" Type="http://schemas.openxmlformats.org/officeDocument/2006/relationships/hyperlink" Target="http://www.consultant.ru/document/cons_doc_LAW_149753/" TargetMode="External"/><Relationship Id="rId33" Type="http://schemas.openxmlformats.org/officeDocument/2006/relationships/hyperlink" Target="http://www.consultant.ru/document/cons_doc_LAW_151622/?dst=100006" TargetMode="External"/><Relationship Id="rId38" Type="http://schemas.openxmlformats.org/officeDocument/2006/relationships/hyperlink" Target="http://www.consultant.ru/document/cons_doc_LAW_148547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9753/" TargetMode="External"/><Relationship Id="rId20" Type="http://schemas.openxmlformats.org/officeDocument/2006/relationships/hyperlink" Target="http://www.consultant.ru/document/cons_doc_LAW_149753/" TargetMode="External"/><Relationship Id="rId29" Type="http://schemas.openxmlformats.org/officeDocument/2006/relationships/hyperlink" Target="http://www.consultant.ru/document/cons_doc_LAW_153961/" TargetMode="External"/><Relationship Id="rId41" Type="http://schemas.openxmlformats.org/officeDocument/2006/relationships/hyperlink" Target="http://www.consultant.ru/document/cons_doc_LAW_1497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649/?dst=100110" TargetMode="External"/><Relationship Id="rId11" Type="http://schemas.openxmlformats.org/officeDocument/2006/relationships/hyperlink" Target="http://www.consultant.ru/document/cons_doc_LAW_153571/?dst=100099" TargetMode="External"/><Relationship Id="rId24" Type="http://schemas.openxmlformats.org/officeDocument/2006/relationships/hyperlink" Target="http://www.consultant.ru/document/cons_doc_LAW_149446/?dst=100013" TargetMode="External"/><Relationship Id="rId32" Type="http://schemas.openxmlformats.org/officeDocument/2006/relationships/hyperlink" Target="http://www.consultant.ru/document/cons_doc_LAW_149753/" TargetMode="External"/><Relationship Id="rId37" Type="http://schemas.openxmlformats.org/officeDocument/2006/relationships/hyperlink" Target="http://www.consultant.ru/document/cons_doc_LAW_158429/" TargetMode="External"/><Relationship Id="rId40" Type="http://schemas.openxmlformats.org/officeDocument/2006/relationships/hyperlink" Target="http://www.consultant.ru/document/cons_doc_LAW_147353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/document/cons_doc_LAW_146018/?dst=100098" TargetMode="External"/><Relationship Id="rId15" Type="http://schemas.openxmlformats.org/officeDocument/2006/relationships/hyperlink" Target="http://www.consultant.ru/document/cons_doc_LAW_149753/" TargetMode="External"/><Relationship Id="rId23" Type="http://schemas.openxmlformats.org/officeDocument/2006/relationships/hyperlink" Target="http://www.consultant.ru/document/cons_doc_LAW_153961/?dst=3765" TargetMode="External"/><Relationship Id="rId28" Type="http://schemas.openxmlformats.org/officeDocument/2006/relationships/hyperlink" Target="http://www.consultant.ru/document/cons_doc_LAW_149446/?dst=100013" TargetMode="External"/><Relationship Id="rId36" Type="http://schemas.openxmlformats.org/officeDocument/2006/relationships/hyperlink" Target="http://www.consultant.ru/document/cons_doc_LAW_158523/" TargetMode="External"/><Relationship Id="rId10" Type="http://schemas.openxmlformats.org/officeDocument/2006/relationships/hyperlink" Target="http://www.consultant.ru/document/cons_doc_LAW_149753/" TargetMode="External"/><Relationship Id="rId19" Type="http://schemas.openxmlformats.org/officeDocument/2006/relationships/hyperlink" Target="http://www.consultant.ru/document/cons_doc_LAW_149753/" TargetMode="External"/><Relationship Id="rId31" Type="http://schemas.openxmlformats.org/officeDocument/2006/relationships/hyperlink" Target="http://www.consultant.ru/document/cons_doc_LAW_149753/?frame=14" TargetMode="External"/><Relationship Id="rId44" Type="http://schemas.openxmlformats.org/officeDocument/2006/relationships/hyperlink" Target="http://www.consultant.ru/document/cons_doc_LAW_1497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5/?dst=100165" TargetMode="External"/><Relationship Id="rId14" Type="http://schemas.openxmlformats.org/officeDocument/2006/relationships/hyperlink" Target="http://www.consultant.ru/document/cons_doc_LAW_146704/?dst=100010" TargetMode="External"/><Relationship Id="rId22" Type="http://schemas.openxmlformats.org/officeDocument/2006/relationships/hyperlink" Target="http://www.consultant.ru/document/cons_doc_LAW_108893/?dst=100027" TargetMode="External"/><Relationship Id="rId27" Type="http://schemas.openxmlformats.org/officeDocument/2006/relationships/hyperlink" Target="http://www.consultant.ru/document/cons_doc_LAW_154188/?dst=2" TargetMode="External"/><Relationship Id="rId30" Type="http://schemas.openxmlformats.org/officeDocument/2006/relationships/hyperlink" Target="http://www.consultant.ru/document/cons_doc_LAW_149753/?frame=14" TargetMode="External"/><Relationship Id="rId35" Type="http://schemas.openxmlformats.org/officeDocument/2006/relationships/hyperlink" Target="http://www.consultant.ru/document/cons_doc_LAW_142304/" TargetMode="External"/><Relationship Id="rId43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6830</Words>
  <Characters>38934</Characters>
  <Application>Microsoft Office Word</Application>
  <DocSecurity>0</DocSecurity>
  <Lines>324</Lines>
  <Paragraphs>91</Paragraphs>
  <ScaleCrop>false</ScaleCrop>
  <Company>Microsoft</Company>
  <LinksUpToDate>false</LinksUpToDate>
  <CharactersWithSpaces>45673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2014-02-10T10:02:00Z</dcterms:created>
  <dcterms:modified xsi:type="dcterms:W3CDTF">2014-02-10T10:03:00Z</dcterms:modified>
</cp:coreProperties>
</file>